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D713" w14:textId="497EB82E" w:rsidR="006A3740" w:rsidRDefault="00D06948">
      <w:pPr>
        <w:rPr>
          <w:b/>
          <w:bCs/>
          <w:sz w:val="28"/>
          <w:szCs w:val="28"/>
        </w:rPr>
      </w:pPr>
      <w:r w:rsidRPr="00D06948">
        <w:rPr>
          <w:b/>
          <w:bCs/>
          <w:sz w:val="28"/>
          <w:szCs w:val="28"/>
        </w:rPr>
        <w:t xml:space="preserve">Tvorba grafu </w:t>
      </w:r>
    </w:p>
    <w:p w14:paraId="5494C935" w14:textId="77777777" w:rsidR="00D06948" w:rsidRDefault="00D06948" w:rsidP="00306DB2">
      <w:pPr>
        <w:spacing w:after="0"/>
      </w:pPr>
      <w:r>
        <w:t>- program MS Excel umožňuje zpracovat vytvořené tabulky do grafů</w:t>
      </w:r>
    </w:p>
    <w:p w14:paraId="03EA0846" w14:textId="07807C53" w:rsidR="00D06948" w:rsidRDefault="00D06948">
      <w:r>
        <w:t>- nejčastěji používané typy grafů:</w:t>
      </w:r>
    </w:p>
    <w:p w14:paraId="1D6CA8AF" w14:textId="69B60CF7" w:rsidR="00D06948" w:rsidRDefault="00D06948" w:rsidP="00D06948">
      <w:pPr>
        <w:pStyle w:val="Odstavecseseznamem"/>
        <w:numPr>
          <w:ilvl w:val="0"/>
          <w:numId w:val="1"/>
        </w:numPr>
      </w:pPr>
      <w:r w:rsidRPr="00D06948">
        <w:rPr>
          <w:b/>
          <w:bCs/>
        </w:rPr>
        <w:t>sloupcový</w:t>
      </w:r>
      <w:r>
        <w:t xml:space="preserve"> – je vhodný k přímému porovnávání informací</w:t>
      </w:r>
    </w:p>
    <w:p w14:paraId="081C5B37" w14:textId="2376AD6B" w:rsidR="00D06948" w:rsidRDefault="00D06948" w:rsidP="00D06948">
      <w:pPr>
        <w:pStyle w:val="Odstavecseseznamem"/>
        <w:ind w:left="765"/>
      </w:pPr>
      <w:r>
        <w:t xml:space="preserve">                      např. </w:t>
      </w:r>
      <w:r w:rsidR="0002327E">
        <w:t xml:space="preserve">srovnání </w:t>
      </w:r>
      <w:r>
        <w:t>poč</w:t>
      </w:r>
      <w:r w:rsidR="0002327E">
        <w:t>tu</w:t>
      </w:r>
      <w:r>
        <w:t xml:space="preserve"> prodaných výrobků během roku</w:t>
      </w:r>
    </w:p>
    <w:p w14:paraId="556AF2C1" w14:textId="4593CBF8" w:rsidR="00D06948" w:rsidRDefault="00D06948" w:rsidP="00D06948">
      <w:pPr>
        <w:pStyle w:val="Odstavecseseznamem"/>
        <w:ind w:left="765"/>
      </w:pPr>
      <w:r>
        <w:t xml:space="preserve">                                věkové rozdělení obyvatel </w:t>
      </w:r>
    </w:p>
    <w:p w14:paraId="4696B20B" w14:textId="6826E2FD" w:rsidR="00D06948" w:rsidRDefault="0002327E" w:rsidP="00D06948">
      <w:pPr>
        <w:pStyle w:val="Odstavecseseznamem"/>
        <w:ind w:left="76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7A64C" wp14:editId="23886B66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3886200" cy="2114550"/>
            <wp:effectExtent l="0" t="0" r="0" b="0"/>
            <wp:wrapNone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82227EE-C65B-442E-921D-2B49BFC23A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8AA1F" w14:textId="4C3E8E1D" w:rsidR="0002327E" w:rsidRDefault="0002327E" w:rsidP="00D06948">
      <w:pPr>
        <w:pStyle w:val="Odstavecseseznamem"/>
        <w:ind w:left="765"/>
      </w:pPr>
    </w:p>
    <w:p w14:paraId="16DEC0CF" w14:textId="57D6436F" w:rsidR="0002327E" w:rsidRDefault="0002327E" w:rsidP="00D06948">
      <w:pPr>
        <w:pStyle w:val="Odstavecseseznamem"/>
        <w:ind w:left="765"/>
      </w:pPr>
    </w:p>
    <w:p w14:paraId="2286F94B" w14:textId="0E085226" w:rsidR="0002327E" w:rsidRDefault="0002327E" w:rsidP="00D06948">
      <w:pPr>
        <w:pStyle w:val="Odstavecseseznamem"/>
        <w:ind w:left="765"/>
      </w:pPr>
    </w:p>
    <w:p w14:paraId="0D5F8CCF" w14:textId="43316370" w:rsidR="0002327E" w:rsidRDefault="0002327E" w:rsidP="00D06948">
      <w:pPr>
        <w:pStyle w:val="Odstavecseseznamem"/>
        <w:ind w:left="765"/>
      </w:pPr>
    </w:p>
    <w:p w14:paraId="7512CA04" w14:textId="1BBD00FC" w:rsidR="0002327E" w:rsidRDefault="0002327E" w:rsidP="00D06948">
      <w:pPr>
        <w:pStyle w:val="Odstavecseseznamem"/>
        <w:ind w:left="765"/>
      </w:pPr>
    </w:p>
    <w:p w14:paraId="75F11F4A" w14:textId="3E4A5F7B" w:rsidR="0002327E" w:rsidRDefault="0002327E" w:rsidP="00D06948">
      <w:pPr>
        <w:pStyle w:val="Odstavecseseznamem"/>
        <w:ind w:left="765"/>
      </w:pPr>
    </w:p>
    <w:p w14:paraId="463DC66D" w14:textId="23FFD206" w:rsidR="0002327E" w:rsidRDefault="0002327E" w:rsidP="00D06948">
      <w:pPr>
        <w:pStyle w:val="Odstavecseseznamem"/>
        <w:ind w:left="765"/>
      </w:pPr>
    </w:p>
    <w:p w14:paraId="47E12685" w14:textId="13E02720" w:rsidR="0002327E" w:rsidRDefault="0002327E" w:rsidP="00D06948">
      <w:pPr>
        <w:pStyle w:val="Odstavecseseznamem"/>
        <w:ind w:left="765"/>
      </w:pPr>
    </w:p>
    <w:p w14:paraId="56B12C01" w14:textId="230E0B47" w:rsidR="0002327E" w:rsidRDefault="0002327E" w:rsidP="00D06948">
      <w:pPr>
        <w:pStyle w:val="Odstavecseseznamem"/>
        <w:ind w:left="765"/>
      </w:pPr>
    </w:p>
    <w:p w14:paraId="1053BDD5" w14:textId="5B418E71" w:rsidR="0002327E" w:rsidRDefault="0002327E" w:rsidP="00D06948">
      <w:pPr>
        <w:pStyle w:val="Odstavecseseznamem"/>
        <w:ind w:left="765"/>
      </w:pPr>
    </w:p>
    <w:p w14:paraId="4189C972" w14:textId="1DC0C452" w:rsidR="0002327E" w:rsidRDefault="0002327E" w:rsidP="00D06948">
      <w:pPr>
        <w:pStyle w:val="Odstavecseseznamem"/>
        <w:ind w:left="765"/>
      </w:pPr>
    </w:p>
    <w:p w14:paraId="064B2F66" w14:textId="5C31D4AA" w:rsidR="00D06948" w:rsidRDefault="00D06948" w:rsidP="00D06948">
      <w:pPr>
        <w:pStyle w:val="Odstavecseseznamem"/>
        <w:numPr>
          <w:ilvl w:val="0"/>
          <w:numId w:val="1"/>
        </w:numPr>
      </w:pPr>
      <w:r w:rsidRPr="00D06948">
        <w:rPr>
          <w:b/>
          <w:bCs/>
        </w:rPr>
        <w:t>spojnicový</w:t>
      </w:r>
      <w:r>
        <w:rPr>
          <w:b/>
          <w:bCs/>
        </w:rPr>
        <w:t xml:space="preserve"> – </w:t>
      </w:r>
      <w:r w:rsidRPr="00D06948">
        <w:t>je vhodný k vyjádření změn v průběhu času</w:t>
      </w:r>
    </w:p>
    <w:p w14:paraId="42A7D114" w14:textId="46FEC621" w:rsidR="00D06948" w:rsidRDefault="00D06948" w:rsidP="00D06948">
      <w:pPr>
        <w:pStyle w:val="Odstavecseseznamem"/>
        <w:ind w:left="765"/>
      </w:pPr>
      <w:r>
        <w:t xml:space="preserve">                        např. teplota vzduchu během měsíce</w:t>
      </w:r>
    </w:p>
    <w:p w14:paraId="18ED8D4F" w14:textId="1559AC0C" w:rsidR="00D06948" w:rsidRDefault="00D06948" w:rsidP="00D06948">
      <w:pPr>
        <w:pStyle w:val="Odstavecseseznamem"/>
        <w:ind w:left="765"/>
      </w:pPr>
      <w:r>
        <w:t xml:space="preserve">                                  prodej jednoho výrobku během roku</w:t>
      </w:r>
    </w:p>
    <w:p w14:paraId="5EEEC252" w14:textId="00A1CD20" w:rsidR="0002327E" w:rsidRDefault="0002327E" w:rsidP="00D06948">
      <w:pPr>
        <w:pStyle w:val="Odstavecseseznamem"/>
        <w:ind w:left="76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8A7FE5" wp14:editId="4995328B">
            <wp:simplePos x="0" y="0"/>
            <wp:positionH relativeFrom="column">
              <wp:posOffset>300355</wp:posOffset>
            </wp:positionH>
            <wp:positionV relativeFrom="paragraph">
              <wp:posOffset>92075</wp:posOffset>
            </wp:positionV>
            <wp:extent cx="3057525" cy="1876425"/>
            <wp:effectExtent l="0" t="0" r="9525" b="9525"/>
            <wp:wrapNone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F7D9F93C-B7C2-4D42-817A-B4DFA7F2EC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4F706" w14:textId="6D26FAFC" w:rsidR="0002327E" w:rsidRDefault="0002327E" w:rsidP="00D06948">
      <w:pPr>
        <w:pStyle w:val="Odstavecseseznamem"/>
        <w:ind w:left="765"/>
      </w:pPr>
    </w:p>
    <w:p w14:paraId="25B81E3C" w14:textId="236CB1F3" w:rsidR="0002327E" w:rsidRDefault="0002327E" w:rsidP="00D06948">
      <w:pPr>
        <w:pStyle w:val="Odstavecseseznamem"/>
        <w:ind w:left="765"/>
      </w:pPr>
    </w:p>
    <w:p w14:paraId="1BF37C10" w14:textId="66EB41E9" w:rsidR="0002327E" w:rsidRDefault="0002327E" w:rsidP="00D06948">
      <w:pPr>
        <w:pStyle w:val="Odstavecseseznamem"/>
        <w:ind w:left="765"/>
      </w:pPr>
    </w:p>
    <w:p w14:paraId="6A4C6826" w14:textId="10447836" w:rsidR="0002327E" w:rsidRDefault="0002327E" w:rsidP="00D06948">
      <w:pPr>
        <w:pStyle w:val="Odstavecseseznamem"/>
        <w:ind w:left="765"/>
      </w:pPr>
    </w:p>
    <w:p w14:paraId="2DC47381" w14:textId="77777777" w:rsidR="0002327E" w:rsidRDefault="0002327E" w:rsidP="00D06948">
      <w:pPr>
        <w:pStyle w:val="Odstavecseseznamem"/>
        <w:ind w:left="765"/>
      </w:pPr>
    </w:p>
    <w:p w14:paraId="698A6595" w14:textId="31DFC020" w:rsidR="0002327E" w:rsidRDefault="0002327E" w:rsidP="00D06948">
      <w:pPr>
        <w:pStyle w:val="Odstavecseseznamem"/>
        <w:ind w:left="765"/>
      </w:pPr>
    </w:p>
    <w:p w14:paraId="6FDA65B0" w14:textId="77777777" w:rsidR="00306DB2" w:rsidRDefault="00306DB2" w:rsidP="00D06948">
      <w:pPr>
        <w:pStyle w:val="Odstavecseseznamem"/>
        <w:ind w:left="765"/>
      </w:pPr>
    </w:p>
    <w:p w14:paraId="0B924E9A" w14:textId="5A1C0968" w:rsidR="0002327E" w:rsidRDefault="0002327E" w:rsidP="0002327E">
      <w:pPr>
        <w:pStyle w:val="Odstavecseseznamem"/>
        <w:numPr>
          <w:ilvl w:val="0"/>
          <w:numId w:val="1"/>
        </w:numPr>
      </w:pPr>
      <w:r w:rsidRPr="0002327E">
        <w:rPr>
          <w:b/>
          <w:bCs/>
        </w:rPr>
        <w:t>výsečový</w:t>
      </w:r>
      <w:r>
        <w:t xml:space="preserve"> (koláčový) – uvádí poměr určité části k celku, v %</w:t>
      </w:r>
    </w:p>
    <w:p w14:paraId="2A3099AE" w14:textId="3A50A04B" w:rsidR="0002327E" w:rsidRDefault="0002327E" w:rsidP="0002327E">
      <w:pPr>
        <w:pStyle w:val="Odstavecseseznamem"/>
        <w:ind w:left="765"/>
      </w:pPr>
      <w:r>
        <w:t xml:space="preserve">                                        např. národnostní složení obyvatel</w:t>
      </w:r>
    </w:p>
    <w:p w14:paraId="1184A00A" w14:textId="7FBC7ACC" w:rsidR="003C0B25" w:rsidRDefault="003C0B25" w:rsidP="0002327E">
      <w:pPr>
        <w:pStyle w:val="Odstavecseseznamem"/>
        <w:ind w:left="765"/>
      </w:pPr>
      <w:r>
        <w:rPr>
          <w:noProof/>
        </w:rPr>
        <w:drawing>
          <wp:inline distT="0" distB="0" distL="0" distR="0" wp14:anchorId="7CBFE55B" wp14:editId="5F1D041D">
            <wp:extent cx="3695700" cy="2581275"/>
            <wp:effectExtent l="0" t="0" r="0" b="952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6E0EFAC-C1C8-41BF-AE72-7A2BA1B8DB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A6D543D" w14:textId="08DABDF6" w:rsidR="003C0B25" w:rsidRDefault="003C0B25" w:rsidP="003C0B25">
      <w:pPr>
        <w:pStyle w:val="Odstavecseseznamem"/>
        <w:spacing w:line="276" w:lineRule="auto"/>
        <w:ind w:left="765"/>
      </w:pPr>
      <w:r w:rsidRPr="00306DB2">
        <w:rPr>
          <w:b/>
          <w:bCs/>
        </w:rPr>
        <w:t>Graf obsahuje</w:t>
      </w:r>
      <w:r>
        <w:t>:</w:t>
      </w:r>
    </w:p>
    <w:p w14:paraId="79E74735" w14:textId="7F32B1C4" w:rsidR="003C0B25" w:rsidRDefault="003C0B25" w:rsidP="003C0B25">
      <w:pPr>
        <w:pStyle w:val="Odstavecseseznamem"/>
        <w:numPr>
          <w:ilvl w:val="0"/>
          <w:numId w:val="2"/>
        </w:numPr>
        <w:spacing w:line="276" w:lineRule="auto"/>
      </w:pPr>
      <w:r>
        <w:t>název</w:t>
      </w:r>
    </w:p>
    <w:p w14:paraId="3BD80971" w14:textId="1AE86255" w:rsidR="003C0B25" w:rsidRDefault="003C0B25" w:rsidP="003C0B25">
      <w:pPr>
        <w:pStyle w:val="Odstavecseseznamem"/>
        <w:numPr>
          <w:ilvl w:val="0"/>
          <w:numId w:val="2"/>
        </w:numPr>
        <w:spacing w:line="276" w:lineRule="auto"/>
      </w:pPr>
      <w:r>
        <w:t>vlastní graf</w:t>
      </w:r>
    </w:p>
    <w:p w14:paraId="3EABC925" w14:textId="5D3F88E3" w:rsidR="003C0B25" w:rsidRDefault="003C0B25" w:rsidP="003C0B25">
      <w:pPr>
        <w:pStyle w:val="Odstavecseseznamem"/>
        <w:numPr>
          <w:ilvl w:val="0"/>
          <w:numId w:val="2"/>
        </w:numPr>
        <w:spacing w:line="276" w:lineRule="auto"/>
      </w:pPr>
      <w:r>
        <w:t>názvy os (nemusí být vždy)</w:t>
      </w:r>
    </w:p>
    <w:p w14:paraId="6973640C" w14:textId="218F36F6" w:rsidR="003C0B25" w:rsidRDefault="003C0B25" w:rsidP="003C0B25">
      <w:pPr>
        <w:pStyle w:val="Odstavecseseznamem"/>
        <w:numPr>
          <w:ilvl w:val="0"/>
          <w:numId w:val="2"/>
        </w:numPr>
        <w:spacing w:line="276" w:lineRule="auto"/>
      </w:pPr>
      <w:r>
        <w:t>legenda (nemusí být vždy)</w:t>
      </w:r>
    </w:p>
    <w:p w14:paraId="52E1ED7F" w14:textId="4061149A" w:rsidR="003C0B25" w:rsidRDefault="003C0B25" w:rsidP="003C0B25">
      <w:pPr>
        <w:pStyle w:val="Odstavecseseznamem"/>
        <w:spacing w:line="276" w:lineRule="auto"/>
        <w:ind w:left="765"/>
      </w:pPr>
    </w:p>
    <w:p w14:paraId="67602E43" w14:textId="5757EAE3" w:rsidR="003C0B25" w:rsidRDefault="003C0B25" w:rsidP="0002327E">
      <w:pPr>
        <w:pStyle w:val="Odstavecseseznamem"/>
        <w:ind w:left="765"/>
      </w:pPr>
      <w:r>
        <w:t>Graf je propojen s tabulkou a při změně dat v tabulce, dochází ke změně zobrazení i v grafu.</w:t>
      </w:r>
    </w:p>
    <w:p w14:paraId="582697D4" w14:textId="5B9B8325" w:rsidR="003C0B25" w:rsidRDefault="003C0B25" w:rsidP="0002327E">
      <w:pPr>
        <w:pStyle w:val="Odstavecseseznamem"/>
        <w:ind w:left="765"/>
      </w:pPr>
    </w:p>
    <w:p w14:paraId="78030831" w14:textId="5932DE05" w:rsidR="003C0B25" w:rsidRDefault="003C0B25" w:rsidP="0002327E">
      <w:pPr>
        <w:pStyle w:val="Odstavecseseznamem"/>
        <w:ind w:left="765"/>
      </w:pPr>
      <w:r w:rsidRPr="00306DB2">
        <w:rPr>
          <w:b/>
          <w:bCs/>
        </w:rPr>
        <w:t>Postup při tvorbě grafu</w:t>
      </w:r>
      <w:r>
        <w:t xml:space="preserve">: </w:t>
      </w:r>
    </w:p>
    <w:p w14:paraId="0F7C38C4" w14:textId="41308DC5" w:rsidR="003C0B25" w:rsidRDefault="003C0B25" w:rsidP="0002327E">
      <w:pPr>
        <w:pStyle w:val="Odstavecseseznamem"/>
        <w:ind w:left="765"/>
      </w:pPr>
      <w:r>
        <w:t>1) označím hodnoty např. celou tabulku</w:t>
      </w:r>
    </w:p>
    <w:p w14:paraId="1276A6CC" w14:textId="3BBD2BDB" w:rsidR="003C0B25" w:rsidRDefault="003C0B25" w:rsidP="0002327E">
      <w:pPr>
        <w:pStyle w:val="Odstavecseseznamem"/>
        <w:ind w:left="765"/>
      </w:pPr>
      <w:r>
        <w:t>2) z</w:t>
      </w:r>
      <w:r w:rsidR="00306DB2">
        <w:t> nabídky na horní liště vyberu kartu Vložení – Grafy (typ grafu)</w:t>
      </w:r>
    </w:p>
    <w:p w14:paraId="63483DF5" w14:textId="737F81F0" w:rsidR="00306DB2" w:rsidRDefault="00306DB2" w:rsidP="0002327E">
      <w:pPr>
        <w:pStyle w:val="Odstavecseseznamem"/>
        <w:ind w:left="765"/>
      </w:pPr>
      <w:r>
        <w:t>3) doplním prvky grafu (název, osy) – pomocí zeleného +</w:t>
      </w:r>
    </w:p>
    <w:p w14:paraId="1FFE5B8F" w14:textId="7F784882" w:rsidR="0002327E" w:rsidRPr="00D06948" w:rsidRDefault="00306DB2" w:rsidP="00306DB2">
      <w:pPr>
        <w:pStyle w:val="Odstavecseseznamem"/>
        <w:ind w:left="765"/>
      </w:pPr>
      <w:r>
        <w:t>4) upravím graf (barvy, písmo) – kliknu P tlačítkem</w:t>
      </w:r>
      <w:r w:rsidR="0002327E">
        <w:t xml:space="preserve">                </w:t>
      </w:r>
    </w:p>
    <w:sectPr w:rsidR="0002327E" w:rsidRPr="00D06948" w:rsidSect="00D0694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0AA2"/>
    <w:multiLevelType w:val="hybridMultilevel"/>
    <w:tmpl w:val="0DBC284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990984"/>
    <w:multiLevelType w:val="hybridMultilevel"/>
    <w:tmpl w:val="8E0839C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C9"/>
    <w:rsid w:val="0002327E"/>
    <w:rsid w:val="00306DB2"/>
    <w:rsid w:val="003C0B25"/>
    <w:rsid w:val="006A3740"/>
    <w:rsid w:val="00D06948"/>
    <w:rsid w:val="00E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A180"/>
  <w15:chartTrackingRefBased/>
  <w15:docId w15:val="{B5E74B46-ECDC-493C-A27D-0447EFCF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tr\Documents\&#353;kola\p&#345;edm&#283;ty\IT%207\excel\Nov&#253;%20List%20Microsoft%20Excel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Prodej výrobků v roce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List1!$B$5</c:f>
              <c:strCache>
                <c:ptCount val="1"/>
                <c:pt idx="0">
                  <c:v>TV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List1!$C$4:$N$4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List1!$C$5:$N$5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7</c:v>
                </c:pt>
                <c:pt idx="9">
                  <c:v>2</c:v>
                </c:pt>
                <c:pt idx="10">
                  <c:v>7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82-4B62-AD99-66979F5F8003}"/>
            </c:ext>
          </c:extLst>
        </c:ser>
        <c:ser>
          <c:idx val="1"/>
          <c:order val="1"/>
          <c:tx>
            <c:strRef>
              <c:f>List1!$B$6</c:f>
              <c:strCache>
                <c:ptCount val="1"/>
                <c:pt idx="0">
                  <c:v>PC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List1!$C$4:$N$4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List1!$C$6:$N$6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8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5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82-4B62-AD99-66979F5F8003}"/>
            </c:ext>
          </c:extLst>
        </c:ser>
        <c:ser>
          <c:idx val="2"/>
          <c:order val="2"/>
          <c:tx>
            <c:strRef>
              <c:f>List1!$B$7</c:f>
              <c:strCache>
                <c:ptCount val="1"/>
                <c:pt idx="0">
                  <c:v>mobil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List1!$C$4:$N$4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List1!$C$7:$N$7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10</c:v>
                </c:pt>
                <c:pt idx="3">
                  <c:v>5</c:v>
                </c:pt>
                <c:pt idx="4">
                  <c:v>6</c:v>
                </c:pt>
                <c:pt idx="5">
                  <c:v>2</c:v>
                </c:pt>
                <c:pt idx="6">
                  <c:v>7</c:v>
                </c:pt>
                <c:pt idx="7">
                  <c:v>10</c:v>
                </c:pt>
                <c:pt idx="8">
                  <c:v>4</c:v>
                </c:pt>
                <c:pt idx="9">
                  <c:v>8</c:v>
                </c:pt>
                <c:pt idx="10">
                  <c:v>6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82-4B62-AD99-66979F5F80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0887040"/>
        <c:axId val="1472044128"/>
      </c:barChart>
      <c:catAx>
        <c:axId val="157088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72044128"/>
        <c:crosses val="autoZero"/>
        <c:auto val="1"/>
        <c:lblAlgn val="ctr"/>
        <c:lblOffset val="100"/>
        <c:noMultiLvlLbl val="0"/>
      </c:catAx>
      <c:valAx>
        <c:axId val="147204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kůsů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7088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Teplota vzduchu v</a:t>
            </a:r>
            <a:r>
              <a:rPr lang="cs-CZ" sz="1200"/>
              <a:t> březnu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List1!$B$12:$B$42</c:f>
              <c:strCache>
                <c:ptCount val="31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  <c:pt idx="12">
                  <c:v>13.</c:v>
                </c:pt>
                <c:pt idx="13">
                  <c:v>14.</c:v>
                </c:pt>
                <c:pt idx="14">
                  <c:v>15.</c:v>
                </c:pt>
                <c:pt idx="15">
                  <c:v>16.</c:v>
                </c:pt>
                <c:pt idx="16">
                  <c:v>17.</c:v>
                </c:pt>
                <c:pt idx="17">
                  <c:v>18.</c:v>
                </c:pt>
                <c:pt idx="18">
                  <c:v>19.</c:v>
                </c:pt>
                <c:pt idx="19">
                  <c:v>20.</c:v>
                </c:pt>
                <c:pt idx="20">
                  <c:v>21.</c:v>
                </c:pt>
                <c:pt idx="21">
                  <c:v>22.</c:v>
                </c:pt>
                <c:pt idx="22">
                  <c:v>23.</c:v>
                </c:pt>
                <c:pt idx="23">
                  <c:v>24.</c:v>
                </c:pt>
                <c:pt idx="24">
                  <c:v>25.</c:v>
                </c:pt>
                <c:pt idx="25">
                  <c:v>26.</c:v>
                </c:pt>
                <c:pt idx="26">
                  <c:v>27.</c:v>
                </c:pt>
                <c:pt idx="27">
                  <c:v>28.</c:v>
                </c:pt>
                <c:pt idx="28">
                  <c:v>29.</c:v>
                </c:pt>
                <c:pt idx="29">
                  <c:v>30.</c:v>
                </c:pt>
                <c:pt idx="30">
                  <c:v>31.</c:v>
                </c:pt>
              </c:strCache>
            </c:strRef>
          </c:cat>
          <c:val>
            <c:numRef>
              <c:f>List1!$C$12:$C$42</c:f>
              <c:numCache>
                <c:formatCode>General</c:formatCode>
                <c:ptCount val="31"/>
                <c:pt idx="0">
                  <c:v>5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  <c:pt idx="4">
                  <c:v>7</c:v>
                </c:pt>
                <c:pt idx="5">
                  <c:v>6</c:v>
                </c:pt>
                <c:pt idx="6">
                  <c:v>3</c:v>
                </c:pt>
                <c:pt idx="7">
                  <c:v>15</c:v>
                </c:pt>
                <c:pt idx="8">
                  <c:v>12</c:v>
                </c:pt>
                <c:pt idx="9">
                  <c:v>18</c:v>
                </c:pt>
                <c:pt idx="10">
                  <c:v>20</c:v>
                </c:pt>
                <c:pt idx="11">
                  <c:v>18</c:v>
                </c:pt>
                <c:pt idx="12">
                  <c:v>13</c:v>
                </c:pt>
                <c:pt idx="13">
                  <c:v>14</c:v>
                </c:pt>
                <c:pt idx="14">
                  <c:v>14</c:v>
                </c:pt>
                <c:pt idx="15">
                  <c:v>11</c:v>
                </c:pt>
                <c:pt idx="16">
                  <c:v>10</c:v>
                </c:pt>
                <c:pt idx="17">
                  <c:v>12</c:v>
                </c:pt>
                <c:pt idx="18">
                  <c:v>15</c:v>
                </c:pt>
                <c:pt idx="19">
                  <c:v>16</c:v>
                </c:pt>
                <c:pt idx="20">
                  <c:v>16</c:v>
                </c:pt>
                <c:pt idx="21">
                  <c:v>16</c:v>
                </c:pt>
                <c:pt idx="22">
                  <c:v>17</c:v>
                </c:pt>
                <c:pt idx="23">
                  <c:v>19</c:v>
                </c:pt>
                <c:pt idx="24">
                  <c:v>18</c:v>
                </c:pt>
                <c:pt idx="25">
                  <c:v>18</c:v>
                </c:pt>
                <c:pt idx="26">
                  <c:v>14</c:v>
                </c:pt>
                <c:pt idx="27">
                  <c:v>13</c:v>
                </c:pt>
                <c:pt idx="28">
                  <c:v>10</c:v>
                </c:pt>
                <c:pt idx="29">
                  <c:v>15</c:v>
                </c:pt>
                <c:pt idx="30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8D-49DB-95FC-599A6A598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8967632"/>
        <c:axId val="1560044688"/>
      </c:lineChart>
      <c:catAx>
        <c:axId val="155896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60044688"/>
        <c:crosses val="autoZero"/>
        <c:auto val="1"/>
        <c:lblAlgn val="ctr"/>
        <c:lblOffset val="100"/>
        <c:noMultiLvlLbl val="0"/>
      </c:catAx>
      <c:valAx>
        <c:axId val="156004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Teplota v stupních Celsia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5896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Národnostní složení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C5-44FD-9DD6-EB5602EFE7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C5-44FD-9DD6-EB5602EFE7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C5-44FD-9DD6-EB5602EFE7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4C5-44FD-9DD6-EB5602EFE7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4C5-44FD-9DD6-EB5602EFE7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List1!$E$13:$E$17</c:f>
              <c:strCache>
                <c:ptCount val="5"/>
                <c:pt idx="0">
                  <c:v>česká</c:v>
                </c:pt>
                <c:pt idx="1">
                  <c:v>slovenská</c:v>
                </c:pt>
                <c:pt idx="2">
                  <c:v>polská</c:v>
                </c:pt>
                <c:pt idx="3">
                  <c:v>německá</c:v>
                </c:pt>
                <c:pt idx="4">
                  <c:v>ostatní</c:v>
                </c:pt>
              </c:strCache>
            </c:strRef>
          </c:cat>
          <c:val>
            <c:numRef>
              <c:f>List1!$F$13:$F$17</c:f>
              <c:numCache>
                <c:formatCode>0%</c:formatCode>
                <c:ptCount val="5"/>
                <c:pt idx="0">
                  <c:v>0.8</c:v>
                </c:pt>
                <c:pt idx="1">
                  <c:v>0.12</c:v>
                </c:pt>
                <c:pt idx="2">
                  <c:v>0.04</c:v>
                </c:pt>
                <c:pt idx="3">
                  <c:v>0.03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4C5-44FD-9DD6-EB5602EFE7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2020-04-18T08:28:00Z</dcterms:created>
  <dcterms:modified xsi:type="dcterms:W3CDTF">2020-04-18T09:05:00Z</dcterms:modified>
</cp:coreProperties>
</file>